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D7" w:rsidRPr="00252B59" w:rsidRDefault="009579D7" w:rsidP="009579D7">
      <w:pPr>
        <w:spacing w:after="0" w:line="240" w:lineRule="auto"/>
        <w:rPr>
          <w:rFonts w:ascii="Verdana" w:hAnsi="Verdana" w:cstheme="majorHAnsi"/>
          <w:b/>
          <w:sz w:val="28"/>
        </w:rPr>
      </w:pPr>
      <w:r w:rsidRPr="00252B59">
        <w:rPr>
          <w:rFonts w:ascii="Verdana" w:hAnsi="Verdana" w:cstheme="majorHAnsi"/>
          <w:b/>
          <w:sz w:val="28"/>
        </w:rPr>
        <w:t>GTCI 2018: Naučme sa zužitkovať talenty</w:t>
      </w:r>
    </w:p>
    <w:p w:rsidR="009579D7" w:rsidRPr="00252B59" w:rsidRDefault="009579D7" w:rsidP="009579D7">
      <w:pPr>
        <w:spacing w:after="0" w:line="240" w:lineRule="auto"/>
        <w:rPr>
          <w:rFonts w:ascii="Verdana" w:hAnsi="Verdana" w:cstheme="majorHAnsi"/>
          <w:b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252B59">
        <w:rPr>
          <w:rFonts w:ascii="Verdana" w:hAnsi="Verdana" w:cstheme="majorHAnsi"/>
          <w:b/>
          <w:sz w:val="20"/>
          <w:szCs w:val="20"/>
        </w:rPr>
        <w:t xml:space="preserve">V medzinárodnom rebríčku krajín podľa schopnosti zužitkovať talenty sa Slovensko umiestnilo na 40. priečke. Vyplýva to z každoročného prieskumu s názvom Globálny index konkurencieschopnosti talentov (GTCI, </w:t>
      </w:r>
      <w:r w:rsidRPr="00252B59">
        <w:rPr>
          <w:rFonts w:ascii="Verdana" w:hAnsi="Verdana" w:cstheme="majorHAnsi"/>
          <w:b/>
          <w:i/>
          <w:sz w:val="20"/>
          <w:szCs w:val="20"/>
        </w:rPr>
        <w:t>The</w:t>
      </w:r>
      <w:bookmarkStart w:id="0" w:name="_GoBack"/>
      <w:bookmarkEnd w:id="0"/>
      <w:r w:rsidRPr="00252B59">
        <w:rPr>
          <w:rFonts w:ascii="Verdana" w:hAnsi="Verdana" w:cstheme="majorHAnsi"/>
          <w:b/>
          <w:i/>
          <w:sz w:val="20"/>
          <w:szCs w:val="20"/>
        </w:rPr>
        <w:t xml:space="preserve"> Global Talent Competetiveness Index</w:t>
      </w:r>
      <w:r w:rsidRPr="00252B59">
        <w:rPr>
          <w:rFonts w:ascii="Verdana" w:hAnsi="Verdana" w:cstheme="majorHAnsi"/>
          <w:b/>
          <w:sz w:val="20"/>
          <w:szCs w:val="20"/>
        </w:rPr>
        <w:t>).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color w:val="000000"/>
          <w:sz w:val="20"/>
          <w:szCs w:val="20"/>
        </w:rPr>
      </w:pPr>
      <w:r w:rsidRPr="00252B59">
        <w:rPr>
          <w:rFonts w:ascii="Verdana" w:hAnsi="Verdana" w:cstheme="majorHAnsi"/>
          <w:b/>
          <w:sz w:val="20"/>
          <w:szCs w:val="20"/>
        </w:rPr>
        <w:t xml:space="preserve">Bratislava </w:t>
      </w:r>
      <w:r w:rsidR="00782EFC" w:rsidRPr="00252B59">
        <w:rPr>
          <w:rFonts w:ascii="Verdana" w:hAnsi="Verdana" w:cstheme="majorHAnsi"/>
          <w:b/>
          <w:sz w:val="20"/>
          <w:szCs w:val="20"/>
        </w:rPr>
        <w:t>26</w:t>
      </w:r>
      <w:r w:rsidRPr="00252B59">
        <w:rPr>
          <w:rFonts w:ascii="Verdana" w:hAnsi="Verdana" w:cstheme="majorHAnsi"/>
          <w:b/>
          <w:sz w:val="20"/>
          <w:szCs w:val="20"/>
        </w:rPr>
        <w:t>. február 2018</w:t>
      </w:r>
      <w:r w:rsidRPr="00252B59">
        <w:rPr>
          <w:rFonts w:ascii="Verdana" w:hAnsi="Verdana" w:cstheme="majorHAnsi"/>
          <w:sz w:val="20"/>
          <w:szCs w:val="20"/>
        </w:rPr>
        <w:t xml:space="preserve"> – Na pravidelnom hodnotení jednotlivých krajín a ich schopnosti rozvíjať, priťahovať a udržiavať talenty</w:t>
      </w:r>
      <w:r w:rsidRPr="00252B59">
        <w:rPr>
          <w:rFonts w:ascii="Verdana" w:hAnsi="Verdana" w:cstheme="majorHAnsi"/>
          <w:i/>
          <w:sz w:val="20"/>
          <w:szCs w:val="20"/>
        </w:rPr>
        <w:t xml:space="preserve"> </w:t>
      </w:r>
      <w:r w:rsidRPr="00252B59">
        <w:rPr>
          <w:rFonts w:ascii="Verdana" w:hAnsi="Verdana" w:cstheme="majorHAnsi"/>
          <w:sz w:val="20"/>
          <w:szCs w:val="20"/>
        </w:rPr>
        <w:t xml:space="preserve">sa podieľa spoločnosť The Adecco Group, svetový líder v oblasti ľudských </w:t>
      </w:r>
      <w:r w:rsidRPr="00252B59">
        <w:rPr>
          <w:rFonts w:ascii="Verdana" w:hAnsi="Verdana" w:cstheme="majorHAnsi"/>
          <w:color w:val="000000"/>
          <w:sz w:val="20"/>
          <w:szCs w:val="20"/>
        </w:rPr>
        <w:t xml:space="preserve">zdrojov, spolu s ďalšími partnermi INSEAD* a Tata Communications*. </w:t>
      </w:r>
      <w:r w:rsidRPr="00252B59">
        <w:rPr>
          <w:rFonts w:ascii="Verdana" w:hAnsi="Verdana" w:cstheme="majorHAnsi"/>
          <w:sz w:val="20"/>
          <w:szCs w:val="20"/>
        </w:rPr>
        <w:t>Len na porovnanie, v roku 2016 sa Slovensko umiestnilo na 27. a vlani na 37. pozícii. Toho roku skončilo na 40. mieste zo 119 hodnotených štátov.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252B59">
        <w:rPr>
          <w:rFonts w:ascii="Verdana" w:hAnsi="Verdana" w:cstheme="majorHAnsi"/>
          <w:b/>
          <w:sz w:val="20"/>
          <w:szCs w:val="20"/>
        </w:rPr>
        <w:t>Kto je najlepší?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>Miesto na čele rebríčka obhájili Švajčiari, za ktorými sa umiestnil Singapur a na tretej priečke Spojené štáty americké. Ako vidieť v tabuľke, ďalšie štyri miesta patria škandinávskym štátom.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rPr>
          <w:rFonts w:ascii="Verdana" w:hAnsi="Verdana" w:cstheme="majorHAnsi"/>
          <w:b/>
          <w:sz w:val="20"/>
          <w:szCs w:val="20"/>
        </w:rPr>
      </w:pPr>
      <w:r w:rsidRPr="00252B59">
        <w:rPr>
          <w:rFonts w:ascii="Verdana" w:hAnsi="Verdana" w:cstheme="majorHAnsi"/>
          <w:b/>
          <w:sz w:val="20"/>
          <w:szCs w:val="20"/>
        </w:rPr>
        <w:t>Top desať krajín podľa GTCI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3686"/>
        <w:gridCol w:w="471"/>
        <w:gridCol w:w="4411"/>
      </w:tblGrid>
      <w:tr w:rsidR="009579D7" w:rsidRPr="00252B59" w:rsidTr="009579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Švajčiarsko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79D7" w:rsidRPr="00252B59" w:rsidRDefault="009579D7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Švédsko</w:t>
            </w:r>
          </w:p>
        </w:tc>
      </w:tr>
      <w:tr w:rsidR="009579D7" w:rsidRPr="00252B59" w:rsidTr="009579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Singapur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7" w:rsidRPr="00252B59" w:rsidRDefault="009579D7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Dánsko</w:t>
            </w:r>
          </w:p>
        </w:tc>
      </w:tr>
      <w:tr w:rsidR="009579D7" w:rsidRPr="00252B59" w:rsidTr="009579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USA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79D7" w:rsidRPr="00252B59" w:rsidRDefault="009579D7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Spojené kráľovstvo</w:t>
            </w:r>
          </w:p>
        </w:tc>
      </w:tr>
      <w:tr w:rsidR="009579D7" w:rsidRPr="00252B59" w:rsidTr="009579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Nórsko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7" w:rsidRPr="00252B59" w:rsidRDefault="009579D7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Holandsko</w:t>
            </w:r>
          </w:p>
        </w:tc>
      </w:tr>
      <w:tr w:rsidR="009579D7" w:rsidRPr="00252B59" w:rsidTr="009579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Fínsko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79D7" w:rsidRPr="00252B59" w:rsidRDefault="009579D7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79D7" w:rsidRPr="00252B59" w:rsidRDefault="009579D7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252B59">
              <w:rPr>
                <w:rFonts w:ascii="Verdana" w:hAnsi="Verdana" w:cstheme="majorHAnsi"/>
                <w:sz w:val="20"/>
                <w:szCs w:val="20"/>
              </w:rPr>
              <w:t>Luxembursko</w:t>
            </w:r>
          </w:p>
        </w:tc>
      </w:tr>
    </w:tbl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  <w:lang w:eastAsia="sk-SK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>Celkovo v prvej 25-ke figuruje až 16 európskych krajín. Zo susedných štátov nás predbehlo Rakúsko (18.), Česko (25.), Slovinsko (28.) a Poľsko (39.). Na druhej strane sa Slovensko umiestnilo lepšie než viaceré krajiny porovnateľné veľkosťou či ekonomickou výkonnosťou (Maďarsko, Grécko, Chorvátsko, Srbsko, Bulharsko, Rumunsko).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252B59">
        <w:rPr>
          <w:rFonts w:ascii="Verdana" w:hAnsi="Verdana" w:cstheme="majorHAnsi"/>
          <w:b/>
          <w:sz w:val="20"/>
          <w:szCs w:val="20"/>
        </w:rPr>
        <w:t>Naše silné a slabé stránky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 xml:space="preserve">Hodnotenie podrobne mapuje silné i slabšie stránky štátov v schopnosti využívať svoj ľudský potenciál. Prednosťou Slovenska sú relatívne dobré výsledky v oblasti profesijných a technických zručností. Slabšou stránkou je schopnosť lákať a motivovať talenty, umožniť ich rast. </w:t>
      </w:r>
      <w:r w:rsidRPr="00252B59">
        <w:rPr>
          <w:rFonts w:ascii="Verdana" w:hAnsi="Verdana" w:cstheme="majorHAnsi"/>
          <w:color w:val="000000"/>
          <w:sz w:val="20"/>
          <w:szCs w:val="20"/>
        </w:rPr>
        <w:t>Slovensko tiež podľa hodnotenia dosahuje prijateľnú mieru rovnosti pohlaví, avšak má čo zlepšiť v tolerancii voči menšinám a migrantom.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color w:val="000000"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252B59">
        <w:rPr>
          <w:rFonts w:ascii="Verdana" w:hAnsi="Verdana" w:cstheme="majorHAnsi"/>
          <w:b/>
          <w:sz w:val="20"/>
          <w:szCs w:val="20"/>
        </w:rPr>
        <w:t>Heslom je rozmanitosť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>Talent je podľa tvorcov rebríčka GTCI najsilnejším zdrojom, ktorý poháňa konkurencieschopnosť a posilňuje úroveň krajiny, mesta či organizácie. Tohtoročná správa sa potom nesie pod heslom Rozmanitosť talentov ako pohon ku konkurencieschopnosti. Kľúčom k úspechu je totiž nielen rozmanitosť jednotlivých druhov nadania – teda schopností v oblasti techniky, vedy, umenia či sociálnych zručností –, ale aj rozmanitosť ľudí z rôznych kultúr, štátov či sociálnych prostredí.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color w:val="000000"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252B59">
        <w:rPr>
          <w:rFonts w:ascii="Verdana" w:hAnsi="Verdana" w:cstheme="majorHAnsi"/>
          <w:b/>
          <w:sz w:val="20"/>
          <w:szCs w:val="20"/>
        </w:rPr>
        <w:t>Čo prispieva k využívaniu ľudského potenciálu?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>Pre schopnosť krajiny využiť potenciál talentovaných ľudí je dôležitých niekoľko faktorov: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b/>
          <w:sz w:val="20"/>
          <w:szCs w:val="20"/>
        </w:rPr>
        <w:t xml:space="preserve">1. Pokročilý vzdelávací systém. </w:t>
      </w:r>
      <w:r w:rsidRPr="00252B59">
        <w:rPr>
          <w:rFonts w:ascii="Verdana" w:hAnsi="Verdana" w:cstheme="majorHAnsi"/>
          <w:sz w:val="20"/>
          <w:szCs w:val="20"/>
        </w:rPr>
        <w:t>Dôležité pritom je, aby sa vzdelávanie zameriavalo nielen na technické, ale aj na ľudské, sociálne a projektové zručnosti.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b/>
          <w:sz w:val="20"/>
          <w:szCs w:val="20"/>
        </w:rPr>
        <w:lastRenderedPageBreak/>
        <w:t>2. Flexibilné podnikateľské prostredie a vhodná politika zamestnanosti</w:t>
      </w:r>
      <w:r w:rsidRPr="00252B59">
        <w:rPr>
          <w:rFonts w:ascii="Verdana" w:hAnsi="Verdana" w:cstheme="majorHAnsi"/>
          <w:sz w:val="20"/>
          <w:szCs w:val="20"/>
        </w:rPr>
        <w:t>, čo znamená aj novú podobu zamestnaneckých vzťahov. Dôležitejšia než autorita a hierarchia je dnes spolupráca, predovšetkým pri vzniku a uplatňovaní inovácií. Namiesto doterajšej lineárnej kariéry a dlhodobého pracovného úväzku v jednej firme dostáva prednosť flexibilná práca a celoživotné vzdelávanie. V Európe a USA dnes tretinu zamestnancov predstavujú samostatne zárobkovo činné osoby. A v USA tvoria dve tretiny tzv. flexibilní zamestnanci. Vyplýva to z faktu, že svetová ekonomika je premenlivá a poháňaná rýchlymi technologickými zmenami, na ktoré treba reagovať.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b/>
          <w:sz w:val="20"/>
          <w:szCs w:val="20"/>
        </w:rPr>
        <w:t>3.</w:t>
      </w:r>
      <w:r w:rsidRPr="00252B59">
        <w:rPr>
          <w:rFonts w:ascii="Verdana" w:hAnsi="Verdana" w:cstheme="majorHAnsi"/>
          <w:sz w:val="20"/>
          <w:szCs w:val="20"/>
        </w:rPr>
        <w:t xml:space="preserve"> </w:t>
      </w:r>
      <w:r w:rsidRPr="00252B59">
        <w:rPr>
          <w:rFonts w:ascii="Verdana" w:hAnsi="Verdana" w:cstheme="majorHAnsi"/>
          <w:b/>
          <w:sz w:val="20"/>
          <w:szCs w:val="20"/>
        </w:rPr>
        <w:t>Otvorenosť vnútorná</w:t>
      </w:r>
      <w:r w:rsidRPr="00252B59">
        <w:rPr>
          <w:rFonts w:ascii="Verdana" w:hAnsi="Verdana" w:cstheme="majorHAnsi"/>
          <w:sz w:val="20"/>
          <w:szCs w:val="20"/>
        </w:rPr>
        <w:t xml:space="preserve">, teda </w:t>
      </w:r>
      <w:r w:rsidRPr="00252B59">
        <w:rPr>
          <w:rFonts w:ascii="Verdana" w:hAnsi="Verdana" w:cstheme="majorHAnsi"/>
          <w:b/>
          <w:sz w:val="20"/>
          <w:szCs w:val="20"/>
        </w:rPr>
        <w:t>podpora sociálnej mobility</w:t>
      </w:r>
      <w:r w:rsidRPr="00252B59">
        <w:rPr>
          <w:rFonts w:ascii="Verdana" w:hAnsi="Verdana" w:cstheme="majorHAnsi"/>
          <w:sz w:val="20"/>
          <w:szCs w:val="20"/>
        </w:rPr>
        <w:t>, čo znamená dať príležitosť ľuďom zo sociálne slabšieho prostredia či z odľahlejších regiónov.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b/>
          <w:sz w:val="20"/>
          <w:szCs w:val="20"/>
        </w:rPr>
        <w:t>4. Otvorenosť vonkajšia</w:t>
      </w:r>
      <w:r w:rsidRPr="00252B59">
        <w:rPr>
          <w:rFonts w:ascii="Verdana" w:hAnsi="Verdana" w:cstheme="majorHAnsi"/>
          <w:sz w:val="20"/>
          <w:szCs w:val="20"/>
        </w:rPr>
        <w:t xml:space="preserve">, teda </w:t>
      </w:r>
      <w:r w:rsidRPr="00252B59">
        <w:rPr>
          <w:rFonts w:ascii="Verdana" w:hAnsi="Verdana" w:cstheme="majorHAnsi"/>
          <w:b/>
          <w:sz w:val="20"/>
          <w:szCs w:val="20"/>
        </w:rPr>
        <w:t>podpora medzinárodnej mobility</w:t>
      </w:r>
      <w:r w:rsidRPr="00252B59">
        <w:rPr>
          <w:rFonts w:ascii="Verdana" w:hAnsi="Verdana" w:cstheme="majorHAnsi"/>
          <w:sz w:val="20"/>
          <w:szCs w:val="20"/>
        </w:rPr>
        <w:t>, predstavuje otvorenosť voči nadaným ľuďom bez ohľadu na ich pôvod, rasu či národnosť. Ako konštatuje správa GTCI, etnicky rozmanité spoločnosti majú o 35 percent vyššiu pravdepodobnosť podať lepší výkon. Talenty z iných krajín sa napríklad v USA častejšie stávajú podnikateľmi a inovátormi. A vo Švajčiarsku pochádza z radov imigrantov až 45 percent skúsených pracovníkov v oblasti chemického, farmaceutického a biotechnologického priemyslu.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>Pre zaujímavosť, v rebríčku GTCI sa hodnotia nielen štáty, ale i jednotlivé mestá. Medzi nimi je na prvom mieste Z</w:t>
      </w:r>
      <w:r w:rsidRPr="00252B59">
        <w:rPr>
          <w:rFonts w:ascii="Verdana" w:hAnsi="Verdana" w:cstheme="majorHAnsi"/>
          <w:iCs/>
          <w:sz w:val="20"/>
          <w:szCs w:val="20"/>
        </w:rPr>
        <w:t>ü</w:t>
      </w:r>
      <w:r w:rsidRPr="00252B59">
        <w:rPr>
          <w:rFonts w:ascii="Verdana" w:hAnsi="Verdana" w:cstheme="majorHAnsi"/>
          <w:sz w:val="20"/>
          <w:szCs w:val="20"/>
        </w:rPr>
        <w:t xml:space="preserve">rich, po ňom nasledujú škandinávske metropoly Štokholm, Oslo, Kodaň a Helsinki. Praha sa umiestnila na 28. a Bratislava na 45. priečke. </w:t>
      </w:r>
    </w:p>
    <w:p w:rsidR="009579D7" w:rsidRPr="00252B59" w:rsidRDefault="009579D7" w:rsidP="009579D7">
      <w:pPr>
        <w:spacing w:after="0" w:line="240" w:lineRule="auto"/>
        <w:rPr>
          <w:rFonts w:ascii="Verdana" w:hAnsi="Verdana" w:cstheme="majorHAnsi"/>
          <w:i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napToGrid w:val="0"/>
          <w:sz w:val="20"/>
          <w:szCs w:val="20"/>
        </w:rPr>
      </w:pPr>
      <w:r w:rsidRPr="00252B59">
        <w:rPr>
          <w:rFonts w:ascii="Verdana" w:hAnsi="Verdana" w:cstheme="majorHAnsi"/>
          <w:snapToGrid w:val="0"/>
          <w:sz w:val="20"/>
          <w:szCs w:val="20"/>
        </w:rPr>
        <w:t xml:space="preserve">Kompletná štúdia </w:t>
      </w:r>
      <w:r w:rsidRPr="00252B59">
        <w:rPr>
          <w:rFonts w:ascii="Verdana" w:hAnsi="Verdana" w:cstheme="majorHAnsi"/>
          <w:sz w:val="20"/>
          <w:szCs w:val="20"/>
        </w:rPr>
        <w:t>Globálny index konkurencieschopnosti talentov</w:t>
      </w:r>
      <w:r w:rsidRPr="00252B59">
        <w:rPr>
          <w:rFonts w:ascii="Verdana" w:hAnsi="Verdana" w:cstheme="majorHAnsi"/>
          <w:snapToGrid w:val="0"/>
          <w:sz w:val="20"/>
          <w:szCs w:val="20"/>
        </w:rPr>
        <w:t xml:space="preserve"> </w:t>
      </w:r>
      <w:hyperlink r:id="rId7" w:history="1">
        <w:r w:rsidRPr="00252B59">
          <w:rPr>
            <w:rStyle w:val="Hypertextovprepojenie"/>
            <w:rFonts w:ascii="Verdana" w:hAnsi="Verdana" w:cstheme="majorHAnsi"/>
            <w:snapToGrid w:val="0"/>
            <w:sz w:val="20"/>
            <w:szCs w:val="20"/>
          </w:rPr>
          <w:t>link</w:t>
        </w:r>
      </w:hyperlink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napToGrid w:val="0"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napToGrid w:val="0"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napToGrid w:val="0"/>
          <w:sz w:val="20"/>
          <w:szCs w:val="20"/>
        </w:rPr>
      </w:pPr>
      <w:r w:rsidRPr="00252B59">
        <w:rPr>
          <w:rFonts w:ascii="Verdana" w:hAnsi="Verdana" w:cstheme="majorHAnsi"/>
          <w:snapToGrid w:val="0"/>
          <w:sz w:val="20"/>
          <w:szCs w:val="20"/>
        </w:rPr>
        <w:t xml:space="preserve">* Informácie o inštitúciách 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:rsidR="009579D7" w:rsidRPr="00252B59" w:rsidRDefault="009579D7" w:rsidP="0095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>INSEAD – The Business School for the World</w:t>
      </w:r>
    </w:p>
    <w:p w:rsidR="009579D7" w:rsidRPr="00252B59" w:rsidRDefault="00DB55DE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hyperlink r:id="rId8" w:history="1">
        <w:r w:rsidR="009579D7" w:rsidRPr="00252B59">
          <w:rPr>
            <w:rStyle w:val="Hypertextovprepojenie"/>
            <w:rFonts w:ascii="Verdana" w:hAnsi="Verdana" w:cstheme="majorHAnsi"/>
            <w:sz w:val="20"/>
            <w:szCs w:val="20"/>
          </w:rPr>
          <w:t>www.insead.edu/</w:t>
        </w:r>
      </w:hyperlink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:rsidR="009579D7" w:rsidRPr="00252B59" w:rsidRDefault="009579D7" w:rsidP="0095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>Tata Communications – Globálny poskytovateľ telekomunikačných riešení a služieb</w:t>
      </w:r>
    </w:p>
    <w:p w:rsidR="009579D7" w:rsidRPr="00252B59" w:rsidRDefault="009579D7" w:rsidP="0095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>www.tatacommunications.com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252B59">
        <w:rPr>
          <w:rFonts w:ascii="Verdana" w:hAnsi="Verdana" w:cstheme="majorHAnsi"/>
          <w:b/>
          <w:sz w:val="20"/>
          <w:szCs w:val="20"/>
        </w:rPr>
        <w:t xml:space="preserve">Kontakt pre médiá </w:t>
      </w:r>
    </w:p>
    <w:p w:rsidR="00542877" w:rsidRPr="00252B59" w:rsidRDefault="00542877" w:rsidP="009579D7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:rsidR="00542877" w:rsidRPr="00252B59" w:rsidRDefault="00542877" w:rsidP="0054287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 xml:space="preserve">Petr Douda, Marketing manager CZ &amp; SK, </w:t>
      </w:r>
      <w:r w:rsidR="008E00E1">
        <w:rPr>
          <w:rFonts w:ascii="Verdana" w:hAnsi="Verdana" w:cstheme="majorHAnsi"/>
          <w:sz w:val="20"/>
          <w:szCs w:val="20"/>
        </w:rPr>
        <w:t xml:space="preserve">ADECCO spol. </w:t>
      </w:r>
      <w:r w:rsidR="008E00E1" w:rsidRPr="008E00E1">
        <w:rPr>
          <w:rFonts w:ascii="Verdana" w:hAnsi="Verdana" w:cstheme="majorHAnsi"/>
          <w:sz w:val="20"/>
          <w:szCs w:val="20"/>
        </w:rPr>
        <w:t>s r.o.</w:t>
      </w:r>
    </w:p>
    <w:p w:rsidR="00542877" w:rsidRPr="00252B59" w:rsidRDefault="00542877" w:rsidP="0054287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>+420 607 034 631</w:t>
      </w:r>
    </w:p>
    <w:p w:rsidR="00542877" w:rsidRPr="00252B59" w:rsidRDefault="00DB55DE" w:rsidP="0054287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hyperlink r:id="rId9" w:history="1">
        <w:r w:rsidR="00542877" w:rsidRPr="00252B59">
          <w:rPr>
            <w:rStyle w:val="Hypertextovprepojenie"/>
            <w:rFonts w:ascii="Verdana" w:hAnsi="Verdana" w:cstheme="majorHAnsi"/>
            <w:sz w:val="20"/>
            <w:szCs w:val="20"/>
          </w:rPr>
          <w:t>petr.douda@adecco.com</w:t>
        </w:r>
      </w:hyperlink>
    </w:p>
    <w:p w:rsidR="00542877" w:rsidRPr="00252B59" w:rsidRDefault="00542877" w:rsidP="009579D7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 xml:space="preserve">Diana Nackinová, Marketing specialist, </w:t>
      </w:r>
      <w:r w:rsidR="00542877" w:rsidRPr="00252B59">
        <w:rPr>
          <w:rFonts w:ascii="Verdana" w:hAnsi="Verdana" w:cstheme="majorHAnsi"/>
          <w:sz w:val="20"/>
          <w:szCs w:val="20"/>
        </w:rPr>
        <w:t>ADECCO</w:t>
      </w:r>
      <w:r w:rsidRPr="00252B59">
        <w:rPr>
          <w:rFonts w:ascii="Verdana" w:hAnsi="Verdana" w:cstheme="majorHAnsi"/>
          <w:sz w:val="20"/>
          <w:szCs w:val="20"/>
        </w:rPr>
        <w:t xml:space="preserve"> Slovakia, s. r. o.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>+421 902 902 422</w:t>
      </w:r>
    </w:p>
    <w:p w:rsidR="009579D7" w:rsidRPr="00252B59" w:rsidRDefault="00DB55DE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hyperlink r:id="rId10" w:history="1">
        <w:r w:rsidR="00542877" w:rsidRPr="00252B59">
          <w:rPr>
            <w:rStyle w:val="Hypertextovprepojenie"/>
            <w:rFonts w:ascii="Verdana" w:hAnsi="Verdana" w:cstheme="majorHAnsi"/>
            <w:sz w:val="20"/>
            <w:szCs w:val="20"/>
          </w:rPr>
          <w:t>diana.nackinova@adecco.com</w:t>
        </w:r>
      </w:hyperlink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>Simona Kralovičová, projektová manažérka, Produkcia, s. r. o.</w:t>
      </w:r>
    </w:p>
    <w:p w:rsidR="009579D7" w:rsidRPr="00252B59" w:rsidRDefault="009579D7" w:rsidP="009579D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252B59">
        <w:rPr>
          <w:rFonts w:ascii="Verdana" w:hAnsi="Verdana" w:cstheme="majorHAnsi"/>
          <w:sz w:val="20"/>
          <w:szCs w:val="20"/>
        </w:rPr>
        <w:t>+421 2 5296 2011</w:t>
      </w:r>
    </w:p>
    <w:p w:rsidR="009579D7" w:rsidRPr="00252B59" w:rsidRDefault="00DB55DE" w:rsidP="009579D7">
      <w:pPr>
        <w:spacing w:after="0" w:line="240" w:lineRule="auto"/>
        <w:rPr>
          <w:rFonts w:ascii="Verdana" w:hAnsi="Verdana" w:cstheme="majorHAnsi"/>
          <w:b/>
          <w:sz w:val="20"/>
          <w:szCs w:val="20"/>
        </w:rPr>
      </w:pPr>
      <w:hyperlink r:id="rId11" w:history="1">
        <w:r w:rsidR="009579D7" w:rsidRPr="00252B59">
          <w:rPr>
            <w:rStyle w:val="Hypertextovprepojenie"/>
            <w:rFonts w:ascii="Verdana" w:hAnsi="Verdana" w:cstheme="majorHAnsi"/>
            <w:sz w:val="20"/>
            <w:szCs w:val="20"/>
          </w:rPr>
          <w:t>kralovicova@produkcia.eu</w:t>
        </w:r>
      </w:hyperlink>
      <w:r w:rsidR="009579D7" w:rsidRPr="00252B59">
        <w:rPr>
          <w:rFonts w:ascii="Verdana" w:hAnsi="Verdana" w:cstheme="majorHAnsi"/>
          <w:sz w:val="20"/>
          <w:szCs w:val="20"/>
        </w:rPr>
        <w:t xml:space="preserve"> </w:t>
      </w:r>
    </w:p>
    <w:p w:rsidR="009579D7" w:rsidRPr="00252B59" w:rsidRDefault="009579D7" w:rsidP="009579D7">
      <w:pPr>
        <w:spacing w:after="0" w:line="240" w:lineRule="auto"/>
        <w:rPr>
          <w:rFonts w:ascii="Verdana" w:hAnsi="Verdana" w:cstheme="majorHAnsi"/>
          <w:b/>
          <w:sz w:val="20"/>
          <w:szCs w:val="20"/>
        </w:rPr>
      </w:pPr>
    </w:p>
    <w:p w:rsidR="009579D7" w:rsidRPr="00252B59" w:rsidRDefault="009579D7" w:rsidP="009579D7">
      <w:pPr>
        <w:spacing w:after="0" w:line="240" w:lineRule="auto"/>
        <w:rPr>
          <w:rFonts w:ascii="Verdana" w:hAnsi="Verdana" w:cstheme="majorHAnsi"/>
          <w:b/>
          <w:sz w:val="20"/>
          <w:szCs w:val="20"/>
        </w:rPr>
      </w:pPr>
    </w:p>
    <w:p w:rsidR="009E5803" w:rsidRPr="00252B59" w:rsidRDefault="009E5803" w:rsidP="00F3451A">
      <w:pPr>
        <w:spacing w:after="0"/>
        <w:rPr>
          <w:rFonts w:ascii="Verdana" w:hAnsi="Verdana"/>
          <w:sz w:val="20"/>
          <w:szCs w:val="20"/>
        </w:rPr>
      </w:pPr>
    </w:p>
    <w:sectPr w:rsidR="009E5803" w:rsidRPr="00252B59" w:rsidSect="00252B59">
      <w:headerReference w:type="default" r:id="rId12"/>
      <w:footerReference w:type="default" r:id="rId13"/>
      <w:pgSz w:w="11906" w:h="16838"/>
      <w:pgMar w:top="1701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78" w:rsidRDefault="00A45478" w:rsidP="006E499A">
      <w:pPr>
        <w:spacing w:after="0" w:line="240" w:lineRule="auto"/>
      </w:pPr>
      <w:r>
        <w:separator/>
      </w:r>
    </w:p>
  </w:endnote>
  <w:endnote w:type="continuationSeparator" w:id="0">
    <w:p w:rsidR="00A45478" w:rsidRDefault="00A45478" w:rsidP="006E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ouschka Head DemiBold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59" w:rsidRDefault="00252B59" w:rsidP="00BA3799">
    <w:pPr>
      <w:pStyle w:val="Textkomentra"/>
      <w:spacing w:after="0"/>
      <w:jc w:val="both"/>
      <w:rPr>
        <w:rFonts w:asciiTheme="majorHAnsi" w:hAnsiTheme="majorHAnsi" w:cstheme="majorHAnsi"/>
        <w:noProof/>
      </w:rPr>
    </w:pPr>
  </w:p>
  <w:p w:rsidR="00B07458" w:rsidRPr="00BA5AD5" w:rsidRDefault="009579D7" w:rsidP="00BA3799">
    <w:pPr>
      <w:pStyle w:val="Textkomentra"/>
      <w:spacing w:after="0"/>
      <w:jc w:val="both"/>
      <w:rPr>
        <w:rFonts w:ascii="Verdana" w:hAnsi="Verdana" w:cstheme="majorHAnsi"/>
        <w:noProof/>
        <w:sz w:val="18"/>
      </w:rPr>
    </w:pPr>
    <w:r w:rsidRPr="00BA5AD5">
      <w:rPr>
        <w:rFonts w:ascii="Verdana" w:hAnsi="Verdana" w:cstheme="majorHAnsi"/>
        <w:noProof/>
        <w:sz w:val="18"/>
      </w:rPr>
      <w:t xml:space="preserve">Adecco je svetovým lídrom v poskytovaní personálnych  služieb. </w:t>
    </w:r>
    <w:r w:rsidRPr="00BA5AD5">
      <w:rPr>
        <w:rFonts w:ascii="Verdana" w:hAnsi="Verdana" w:cstheme="majorHAnsi"/>
        <w:bCs/>
        <w:noProof/>
        <w:sz w:val="18"/>
      </w:rPr>
      <w:t>V 60</w:t>
    </w:r>
    <w:r w:rsidRPr="00BA5AD5">
      <w:rPr>
        <w:rFonts w:ascii="Verdana" w:hAnsi="Verdana" w:cstheme="majorHAnsi"/>
        <w:noProof/>
        <w:sz w:val="18"/>
      </w:rPr>
      <w:t xml:space="preserve"> krajinách má viac </w:t>
    </w:r>
    <w:r w:rsidRPr="00BA5AD5">
      <w:rPr>
        <w:rFonts w:ascii="Verdana" w:hAnsi="Verdana" w:cstheme="majorHAnsi"/>
        <w:bCs/>
        <w:noProof/>
        <w:sz w:val="18"/>
      </w:rPr>
      <w:t>než 5 200</w:t>
    </w:r>
    <w:r w:rsidRPr="00BA5AD5">
      <w:rPr>
        <w:rFonts w:ascii="Verdana" w:hAnsi="Verdana" w:cstheme="majorHAnsi"/>
        <w:noProof/>
        <w:sz w:val="18"/>
      </w:rPr>
      <w:t xml:space="preserve"> pobočiek a približne 31 000 zamestnancov. Denne pomáha nájsť prácu </w:t>
    </w:r>
    <w:r w:rsidRPr="00BA5AD5">
      <w:rPr>
        <w:rFonts w:ascii="Verdana" w:hAnsi="Verdana" w:cstheme="majorHAnsi"/>
        <w:bCs/>
        <w:noProof/>
        <w:sz w:val="18"/>
      </w:rPr>
      <w:t>650 000</w:t>
    </w:r>
    <w:r w:rsidRPr="00BA5AD5">
      <w:rPr>
        <w:rFonts w:ascii="Verdana" w:hAnsi="Verdana" w:cstheme="majorHAnsi"/>
        <w:noProof/>
        <w:sz w:val="18"/>
      </w:rPr>
      <w:t xml:space="preserve"> ľuďom. Na Slovensku pôsobí Adecco od roku 2002 s</w:t>
    </w:r>
    <w:r w:rsidRPr="00BA5AD5">
      <w:rPr>
        <w:rFonts w:ascii="Verdana" w:hAnsi="Verdana" w:cstheme="majorHAnsi"/>
        <w:noProof/>
        <w:sz w:val="18"/>
        <w:lang w:val="sk-SK"/>
      </w:rPr>
      <w:t> viac ako</w:t>
    </w:r>
    <w:r w:rsidRPr="00BA5AD5">
      <w:rPr>
        <w:rFonts w:ascii="Verdana" w:hAnsi="Verdana" w:cstheme="majorHAnsi"/>
        <w:noProof/>
        <w:sz w:val="18"/>
      </w:rPr>
      <w:t xml:space="preserve"> </w:t>
    </w:r>
    <w:r w:rsidRPr="00BA5AD5">
      <w:rPr>
        <w:rFonts w:ascii="Verdana" w:hAnsi="Verdana" w:cstheme="majorHAnsi"/>
        <w:noProof/>
        <w:sz w:val="18"/>
        <w:lang w:val="sk-SK"/>
      </w:rPr>
      <w:t>9</w:t>
    </w:r>
    <w:r w:rsidRPr="00BA5AD5">
      <w:rPr>
        <w:rFonts w:ascii="Verdana" w:hAnsi="Verdana" w:cstheme="majorHAnsi"/>
        <w:noProof/>
        <w:sz w:val="18"/>
      </w:rPr>
      <w:t xml:space="preserve"> pobočkami, s 2 200 pridelenými zamestnancami denne</w:t>
    </w:r>
    <w:r w:rsidRPr="00BA5AD5">
      <w:rPr>
        <w:rFonts w:ascii="Verdana" w:hAnsi="Verdana" w:cstheme="majorHAnsi"/>
        <w:noProof/>
        <w:szCs w:val="22"/>
      </w:rPr>
      <w:t xml:space="preserve"> </w:t>
    </w:r>
    <w:r w:rsidRPr="00BA5AD5">
      <w:rPr>
        <w:rFonts w:ascii="Verdana" w:hAnsi="Verdana" w:cstheme="majorHAnsi"/>
        <w:noProof/>
        <w:sz w:val="18"/>
      </w:rPr>
      <w:t xml:space="preserve">a databázou takmer 50 000 uchádzačov. </w:t>
    </w:r>
    <w:hyperlink r:id="rId1" w:history="1">
      <w:r w:rsidRPr="00BA5AD5">
        <w:rPr>
          <w:rStyle w:val="Hypertextovprepojenie"/>
          <w:rFonts w:ascii="Verdana" w:hAnsi="Verdana" w:cstheme="majorHAnsi"/>
          <w:noProof/>
          <w:szCs w:val="22"/>
        </w:rPr>
        <w:t>www.adecco.sk</w:t>
      </w:r>
    </w:hyperlink>
    <w:r w:rsidRPr="00BA5AD5">
      <w:rPr>
        <w:rFonts w:ascii="Verdana" w:hAnsi="Verdana" w:cstheme="majorHAnsi"/>
        <w:noProof/>
        <w:szCs w:val="22"/>
      </w:rPr>
      <w:t xml:space="preserve"> 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78" w:rsidRDefault="00A45478" w:rsidP="006E499A">
      <w:pPr>
        <w:spacing w:after="0" w:line="240" w:lineRule="auto"/>
      </w:pPr>
      <w:r>
        <w:separator/>
      </w:r>
    </w:p>
  </w:footnote>
  <w:footnote w:type="continuationSeparator" w:id="0">
    <w:p w:rsidR="00A45478" w:rsidRDefault="00A45478" w:rsidP="006E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D7" w:rsidRPr="00252B59" w:rsidRDefault="0000397A" w:rsidP="009579D7">
    <w:pPr>
      <w:pStyle w:val="Hlavika"/>
      <w:jc w:val="right"/>
      <w:rPr>
        <w:rFonts w:ascii="Verdana" w:hAnsi="Verdana" w:cstheme="majorHAnsi"/>
        <w:b/>
        <w:sz w:val="24"/>
      </w:rPr>
    </w:pPr>
    <w:r>
      <w:rPr>
        <w:noProof/>
        <w:lang w:eastAsia="sk-SK"/>
      </w:rPr>
      <w:drawing>
        <wp:anchor distT="0" distB="0" distL="114300" distR="114300" simplePos="0" relativeHeight="251658239" behindDoc="0" locked="0" layoutInCell="1" allowOverlap="1" wp14:anchorId="656F01A5" wp14:editId="6E9F1318">
          <wp:simplePos x="0" y="0"/>
          <wp:positionH relativeFrom="column">
            <wp:posOffset>-335591</wp:posOffset>
          </wp:positionH>
          <wp:positionV relativeFrom="paragraph">
            <wp:posOffset>70593</wp:posOffset>
          </wp:positionV>
          <wp:extent cx="1438408" cy="369651"/>
          <wp:effectExtent l="0" t="0" r="0" b="0"/>
          <wp:wrapNone/>
          <wp:docPr id="3" name="Obrázek 15" descr="C:\Users\radko.sedlak\Downloads\logopng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dko.sedlak\Downloads\logopng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908" cy="3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458" w:rsidRPr="00B07458">
      <w:rPr>
        <w:rFonts w:ascii="Houschka Head DemiBold" w:hAnsi="Houschka Head DemiBold"/>
        <w:sz w:val="24"/>
        <w:szCs w:val="24"/>
      </w:rPr>
      <w:t xml:space="preserve"> </w:t>
    </w:r>
    <w:r w:rsidR="009579D7" w:rsidRPr="00252B59">
      <w:rPr>
        <w:rFonts w:ascii="Verdana" w:hAnsi="Verdana" w:cstheme="majorHAnsi"/>
        <w:b/>
        <w:sz w:val="24"/>
      </w:rPr>
      <w:t>Správa pre médiá</w:t>
    </w:r>
  </w:p>
  <w:p w:rsidR="006E499A" w:rsidRPr="00B07458" w:rsidRDefault="006E499A" w:rsidP="00DE2483">
    <w:pPr>
      <w:pStyle w:val="Hlavika"/>
      <w:tabs>
        <w:tab w:val="clear" w:pos="9072"/>
        <w:tab w:val="right" w:pos="9639"/>
      </w:tabs>
      <w:ind w:right="-991"/>
      <w:rPr>
        <w:rFonts w:ascii="Houschka Head DemiBold" w:hAnsi="Houschka Head DemiBol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9A"/>
    <w:rsid w:val="0000397A"/>
    <w:rsid w:val="00035862"/>
    <w:rsid w:val="000F48DB"/>
    <w:rsid w:val="0015772F"/>
    <w:rsid w:val="001B75A3"/>
    <w:rsid w:val="001E1F78"/>
    <w:rsid w:val="00252B59"/>
    <w:rsid w:val="002D576B"/>
    <w:rsid w:val="004508D0"/>
    <w:rsid w:val="00493746"/>
    <w:rsid w:val="004F3C10"/>
    <w:rsid w:val="00542877"/>
    <w:rsid w:val="00562EE1"/>
    <w:rsid w:val="00592D7D"/>
    <w:rsid w:val="006E499A"/>
    <w:rsid w:val="00703C97"/>
    <w:rsid w:val="00704F34"/>
    <w:rsid w:val="00744DC9"/>
    <w:rsid w:val="00782EFC"/>
    <w:rsid w:val="007D59A3"/>
    <w:rsid w:val="008E00E1"/>
    <w:rsid w:val="00937DA4"/>
    <w:rsid w:val="009579D7"/>
    <w:rsid w:val="00971515"/>
    <w:rsid w:val="009E5803"/>
    <w:rsid w:val="00A3670F"/>
    <w:rsid w:val="00A45478"/>
    <w:rsid w:val="00AB22AC"/>
    <w:rsid w:val="00B07458"/>
    <w:rsid w:val="00B6721D"/>
    <w:rsid w:val="00BA3799"/>
    <w:rsid w:val="00BA5AD5"/>
    <w:rsid w:val="00BC57A6"/>
    <w:rsid w:val="00BE79F1"/>
    <w:rsid w:val="00C21B4E"/>
    <w:rsid w:val="00C74A49"/>
    <w:rsid w:val="00C81B42"/>
    <w:rsid w:val="00D97F0A"/>
    <w:rsid w:val="00DB55DE"/>
    <w:rsid w:val="00DE2483"/>
    <w:rsid w:val="00E13B2D"/>
    <w:rsid w:val="00E3723A"/>
    <w:rsid w:val="00E50938"/>
    <w:rsid w:val="00E51FBB"/>
    <w:rsid w:val="00E67F6B"/>
    <w:rsid w:val="00E83AE4"/>
    <w:rsid w:val="00F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E11D6E-5997-4D42-9B76-0CFCF432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499A"/>
  </w:style>
  <w:style w:type="paragraph" w:styleId="Pta">
    <w:name w:val="footer"/>
    <w:basedOn w:val="Normlny"/>
    <w:link w:val="PtaChar"/>
    <w:uiPriority w:val="99"/>
    <w:unhideWhenUsed/>
    <w:rsid w:val="006E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499A"/>
  </w:style>
  <w:style w:type="paragraph" w:styleId="Textbubliny">
    <w:name w:val="Balloon Text"/>
    <w:basedOn w:val="Normlny"/>
    <w:link w:val="TextbublinyChar"/>
    <w:uiPriority w:val="99"/>
    <w:semiHidden/>
    <w:unhideWhenUsed/>
    <w:rsid w:val="006E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99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BC57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EmailStyle22">
    <w:name w:val="EmailStyle22"/>
    <w:semiHidden/>
    <w:rsid w:val="00F3451A"/>
    <w:rPr>
      <w:rFonts w:ascii="Arial" w:hAnsi="Arial" w:cs="Arial"/>
      <w:color w:val="000080"/>
      <w:sz w:val="20"/>
      <w:szCs w:val="20"/>
    </w:rPr>
  </w:style>
  <w:style w:type="character" w:styleId="Hypertextovprepojenie">
    <w:name w:val="Hyperlink"/>
    <w:uiPriority w:val="99"/>
    <w:unhideWhenUsed/>
    <w:rsid w:val="009579D7"/>
    <w:rPr>
      <w:color w:val="0000FF"/>
      <w:u w:val="single"/>
    </w:rPr>
  </w:style>
  <w:style w:type="table" w:styleId="Mriekatabuky">
    <w:name w:val="Table Grid"/>
    <w:basedOn w:val="Normlnatabuka"/>
    <w:uiPriority w:val="59"/>
    <w:rsid w:val="009579D7"/>
    <w:pPr>
      <w:widowControl w:val="0"/>
      <w:spacing w:after="0" w:line="240" w:lineRule="auto"/>
      <w:contextualSpacing/>
    </w:pPr>
    <w:rPr>
      <w:rFonts w:ascii="Calibri" w:eastAsia="Arial" w:hAnsi="Calibri" w:cs="Arial"/>
      <w:color w:val="00000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9579D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579D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428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ad.ed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sead.edu/sites/default/files/assets/dept/globalindices/docs/GTCI-2018-report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alovicova@produkcia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ana.nackinova@adec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douda@adecc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cc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5DC9-B8B3-49AA-B102-98054C64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Adecco, spol. s r.o.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 Sedlák</dc:creator>
  <cp:lastModifiedBy>Simona Kralovičová</cp:lastModifiedBy>
  <cp:revision>10</cp:revision>
  <cp:lastPrinted>2017-10-03T14:45:00Z</cp:lastPrinted>
  <dcterms:created xsi:type="dcterms:W3CDTF">2018-02-22T10:13:00Z</dcterms:created>
  <dcterms:modified xsi:type="dcterms:W3CDTF">2018-02-26T08:27:00Z</dcterms:modified>
</cp:coreProperties>
</file>